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2ADAE4" w14:textId="201DC3CC" w:rsidR="00CB3FE1" w:rsidRPr="00CB3FE1" w:rsidRDefault="00CB3FE1" w:rsidP="00CB3FE1">
      <w:pPr>
        <w:spacing w:after="0" w:line="276" w:lineRule="auto"/>
        <w:ind w:firstLine="450"/>
        <w:jc w:val="center"/>
        <w:rPr>
          <w:rFonts w:ascii="GHEA Grapalat" w:eastAsia="Times New Roman" w:hAnsi="GHEA Grapalat" w:cs="Times New Roman"/>
          <w:kern w:val="0"/>
          <w14:ligatures w14:val="none"/>
        </w:rPr>
      </w:pPr>
      <w:r w:rsidRPr="00CB3FE1">
        <w:rPr>
          <w:rFonts w:ascii="GHEA Grapalat" w:eastAsia="Times New Roman" w:hAnsi="GHEA Grapalat" w:cs="Sylfaen"/>
          <w:b/>
          <w:bCs/>
          <w:kern w:val="0"/>
          <w14:ligatures w14:val="none"/>
        </w:rPr>
        <w:t>ԻՐԱՎԱԿԱՆ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 xml:space="preserve"> </w:t>
      </w:r>
      <w:r w:rsidRPr="00CB3FE1">
        <w:rPr>
          <w:rFonts w:ascii="GHEA Grapalat" w:eastAsia="Times New Roman" w:hAnsi="GHEA Grapalat" w:cs="Sylfaen"/>
          <w:b/>
          <w:bCs/>
          <w:kern w:val="0"/>
          <w14:ligatures w14:val="none"/>
        </w:rPr>
        <w:t>ԵԶՐԱԿԱՑՈՒԹՅՈՒՆ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br/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ՀՀՔԿ-ԲՄԱՇՁԲ-26/7 ծածկագրով բաց մրցույթի շրջանակում հայտի ապահովման բանկային երաշխիքի գնահատման վերաբերյալ</w:t>
      </w:r>
    </w:p>
    <w:p w14:paraId="2EAA0FC8" w14:textId="77777777" w:rsidR="00CB3FE1" w:rsidRDefault="00CB3FE1" w:rsidP="00CB3FE1">
      <w:pPr>
        <w:spacing w:after="0" w:line="276" w:lineRule="auto"/>
        <w:ind w:firstLine="450"/>
        <w:jc w:val="both"/>
        <w:outlineLvl w:val="1"/>
        <w:rPr>
          <w:rFonts w:ascii="GHEA Grapalat" w:eastAsia="Times New Roman" w:hAnsi="GHEA Grapalat" w:cs="Times New Roman"/>
          <w:b/>
          <w:bCs/>
          <w:kern w:val="0"/>
          <w14:ligatures w14:val="none"/>
        </w:rPr>
      </w:pPr>
    </w:p>
    <w:p w14:paraId="661C5456" w14:textId="4F133376" w:rsidR="00CB3FE1" w:rsidRPr="00CB3FE1" w:rsidRDefault="00CB3FE1" w:rsidP="00CB3FE1">
      <w:pPr>
        <w:spacing w:after="0" w:line="276" w:lineRule="auto"/>
        <w:ind w:firstLine="450"/>
        <w:jc w:val="both"/>
        <w:outlineLvl w:val="1"/>
        <w:rPr>
          <w:rFonts w:ascii="GHEA Grapalat" w:eastAsia="Times New Roman" w:hAnsi="GHEA Grapalat" w:cs="Times New Roman"/>
          <w:b/>
          <w:bCs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1. Եզրակացության կազմման հիմքը</w:t>
      </w:r>
    </w:p>
    <w:p w14:paraId="27B14DB8" w14:textId="6D73656C" w:rsidR="00CB3FE1" w:rsidRPr="00142A16" w:rsidRDefault="00CB3FE1" w:rsidP="00142A16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:lang w:val="hy-AM"/>
          <w14:ligatures w14:val="none"/>
        </w:rPr>
      </w:pPr>
      <w:r w:rsidRPr="00CB3FE1">
        <w:rPr>
          <w:rFonts w:ascii="GHEA Grapalat" w:eastAsia="Times New Roman" w:hAnsi="GHEA Grapalat" w:cs="Times New Roman"/>
          <w:kern w:val="0"/>
          <w14:ligatures w14:val="none"/>
        </w:rPr>
        <w:t>Սույն իրավական եզրակացությունը կազմվել է ՀՀ կառավարության 2017 թվականի մայիսի 4-ի N 526-Ն որոշմամբ հաստատված «Գնումների գործընթացի կազմակերպման» կարգի</w:t>
      </w:r>
      <w:r w:rsidR="00142A16">
        <w:rPr>
          <w:rFonts w:ascii="GHEA Grapalat" w:eastAsia="Times New Roman" w:hAnsi="GHEA Grapalat" w:cs="Times New Roman"/>
          <w:kern w:val="0"/>
          <w:lang w:val="hy-AM"/>
          <w14:ligatures w14:val="none"/>
        </w:rPr>
        <w:t xml:space="preserve"> </w:t>
      </w:r>
      <w:r w:rsidR="00142A16" w:rsidRPr="00142A16">
        <w:rPr>
          <w:rFonts w:ascii="GHEA Grapalat" w:eastAsia="Times New Roman" w:hAnsi="GHEA Grapalat" w:cs="Times New Roman"/>
          <w:kern w:val="0"/>
          <w14:ligatures w14:val="none"/>
        </w:rPr>
        <w:t>(</w:t>
      </w:r>
      <w:r w:rsidR="00142A16">
        <w:rPr>
          <w:rFonts w:ascii="GHEA Grapalat" w:eastAsia="Times New Roman" w:hAnsi="GHEA Grapalat" w:cs="Times New Roman"/>
          <w:kern w:val="0"/>
          <w:lang w:val="hy-AM"/>
          <w14:ligatures w14:val="none"/>
        </w:rPr>
        <w:t>այսուհետ՝ Կարգ</w:t>
      </w:r>
      <w:r w:rsidR="00142A16" w:rsidRPr="00142A16">
        <w:rPr>
          <w:rFonts w:ascii="GHEA Grapalat" w:eastAsia="Times New Roman" w:hAnsi="GHEA Grapalat" w:cs="Times New Roman"/>
          <w:kern w:val="0"/>
          <w14:ligatures w14:val="none"/>
        </w:rPr>
        <w:t>)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 27-րդ կետի շրջանակում՝ հիմք ընդունելով գնումների համակարգողի կողմից </w:t>
      </w:r>
      <w:r w:rsidR="00142A16" w:rsidRPr="00142A16">
        <w:rPr>
          <w:rFonts w:ascii="GHEA Grapalat" w:eastAsia="Times New Roman" w:hAnsi="GHEA Grapalat" w:cs="Times New Roman"/>
          <w:kern w:val="0"/>
          <w14:ligatures w14:val="none"/>
        </w:rPr>
        <w:t>15.05.2026</w:t>
      </w:r>
      <w:r w:rsidR="00142A16">
        <w:rPr>
          <w:rFonts w:ascii="GHEA Grapalat" w:eastAsia="Times New Roman" w:hAnsi="GHEA Grapalat" w:cs="Times New Roman"/>
          <w:kern w:val="0"/>
          <w:lang w:val="hy-AM"/>
          <w14:ligatures w14:val="none"/>
        </w:rPr>
        <w:t xml:space="preserve"> թվականի </w:t>
      </w:r>
      <w:r w:rsidR="00142A16" w:rsidRPr="00142A16">
        <w:rPr>
          <w:rFonts w:ascii="GHEA Grapalat" w:eastAsia="Times New Roman" w:hAnsi="GHEA Grapalat" w:cs="Times New Roman"/>
          <w:kern w:val="0"/>
          <w:lang w:val="hy-AM"/>
          <w14:ligatures w14:val="none"/>
        </w:rPr>
        <w:t>01/18.2/8059-2026</w:t>
      </w:r>
      <w:r w:rsidR="00142A16">
        <w:rPr>
          <w:rFonts w:ascii="GHEA Grapalat" w:eastAsia="Times New Roman" w:hAnsi="GHEA Grapalat" w:cs="Times New Roman"/>
          <w:kern w:val="0"/>
          <w:lang w:val="hy-AM"/>
          <w14:ligatures w14:val="none"/>
        </w:rPr>
        <w:t xml:space="preserve"> զեկուցագրով 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բարձրացված հարցը, </w:t>
      </w:r>
      <w:r w:rsidR="00142A16">
        <w:rPr>
          <w:rFonts w:ascii="GHEA Grapalat" w:eastAsia="Times New Roman" w:hAnsi="GHEA Grapalat" w:cs="Times New Roman"/>
          <w:kern w:val="0"/>
          <w:lang w:val="hy-AM"/>
          <w14:ligatures w14:val="none"/>
        </w:rPr>
        <w:t>մասնավորապես,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 ՀՀՔԿ-ԲՄԱՇՁԲ-26/7 ծածկագրով բաց մրցույթի գնահատող հանձնաժողովի՝ առաջին տեղ զբաղեցրած մասնակցի հայտի ապահովման բանկային երաշխիքը բավարար գնահատելու մոտեցումը</w:t>
      </w:r>
      <w:r w:rsidR="00142A16">
        <w:rPr>
          <w:rFonts w:ascii="GHEA Grapalat" w:eastAsia="Times New Roman" w:hAnsi="GHEA Grapalat" w:cs="Times New Roman"/>
          <w:kern w:val="0"/>
          <w:lang w:val="hy-AM"/>
          <w14:ligatures w14:val="none"/>
        </w:rPr>
        <w:t xml:space="preserve"> </w:t>
      </w:r>
      <w:r w:rsidR="00142A16" w:rsidRPr="00142A16">
        <w:rPr>
          <w:rFonts w:ascii="GHEA Grapalat" w:eastAsia="Times New Roman" w:hAnsi="GHEA Grapalat" w:cs="Times New Roman"/>
          <w:kern w:val="0"/>
          <w14:ligatures w14:val="none"/>
        </w:rPr>
        <w:t>(</w:t>
      </w:r>
      <w:r w:rsidR="00142A16">
        <w:rPr>
          <w:rFonts w:ascii="GHEA Grapalat" w:eastAsia="Times New Roman" w:hAnsi="GHEA Grapalat" w:cs="Times New Roman"/>
          <w:kern w:val="0"/>
          <w:lang w:val="hy-AM"/>
          <w14:ligatures w14:val="none"/>
        </w:rPr>
        <w:t xml:space="preserve">հիմք՝ </w:t>
      </w:r>
      <w:r w:rsidR="00142A16" w:rsidRPr="00CB3FE1">
        <w:rPr>
          <w:rFonts w:ascii="GHEA Grapalat" w:eastAsia="Times New Roman" w:hAnsi="GHEA Grapalat" w:cs="Times New Roman"/>
          <w:kern w:val="0"/>
          <w14:ligatures w14:val="none"/>
        </w:rPr>
        <w:t>ՀՀՔԿ-ԲՄԱՇՁԲ-26/7</w:t>
      </w:r>
      <w:r w:rsidR="00142A16">
        <w:rPr>
          <w:rFonts w:ascii="GHEA Grapalat" w:eastAsia="Times New Roman" w:hAnsi="GHEA Grapalat" w:cs="Times New Roman"/>
          <w:kern w:val="0"/>
          <w:lang w:val="hy-AM"/>
          <w14:ligatures w14:val="none"/>
        </w:rPr>
        <w:t xml:space="preserve"> ծածկագրով ՀՀ լոռու մարզի «Վանաձորի Հ․ Աբելյանի անվան պետական դրամատիկական թատրոն» ՊՈԱԿ-ի կառոըցման աշխատանքների ձեռքբերման գնման ընթացակարգի գնահատող հանձնաժողովի նիստի </w:t>
      </w:r>
      <w:r w:rsidR="00142A16">
        <w:rPr>
          <w:rFonts w:ascii="GHEA Grapalat" w:eastAsia="Times New Roman" w:hAnsi="GHEA Grapalat" w:cs="Times New Roman"/>
          <w:kern w:val="0"/>
          <w14:ligatures w14:val="none"/>
        </w:rPr>
        <w:t>N 2-1</w:t>
      </w:r>
      <w:r w:rsidR="00142A16">
        <w:rPr>
          <w:rFonts w:ascii="GHEA Grapalat" w:eastAsia="Times New Roman" w:hAnsi="GHEA Grapalat" w:cs="Times New Roman"/>
          <w:kern w:val="0"/>
          <w:lang w:val="hy-AM"/>
          <w14:ligatures w14:val="none"/>
        </w:rPr>
        <w:t xml:space="preserve"> արձանագրություն</w:t>
      </w:r>
      <w:r w:rsidR="00142A16" w:rsidRPr="00142A16">
        <w:rPr>
          <w:rFonts w:ascii="GHEA Grapalat" w:eastAsia="Times New Roman" w:hAnsi="GHEA Grapalat" w:cs="Times New Roman"/>
          <w:kern w:val="0"/>
          <w:lang w:val="hy-AM"/>
          <w14:ligatures w14:val="none"/>
        </w:rPr>
        <w:t>)</w:t>
      </w:r>
      <w:r w:rsidRPr="00142A16">
        <w:rPr>
          <w:rFonts w:ascii="GHEA Grapalat" w:eastAsia="Times New Roman" w:hAnsi="GHEA Grapalat" w:cs="Times New Roman"/>
          <w:kern w:val="0"/>
          <w:lang w:val="hy-AM"/>
          <w14:ligatures w14:val="none"/>
        </w:rPr>
        <w:t xml:space="preserve"> կարող է առաջացնել գնումների մասին օրենսդրության պահանջների պահպանման հետ կապված իրավական ռիսկեր։</w:t>
      </w:r>
    </w:p>
    <w:p w14:paraId="57FF5114" w14:textId="0E9D315F" w:rsidR="00CB3FE1" w:rsidRPr="00CF2B72" w:rsidRDefault="00CB3FE1" w:rsidP="00CB3FE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:lang w:val="hy-AM"/>
          <w14:ligatures w14:val="none"/>
        </w:rPr>
      </w:pPr>
      <w:r w:rsidRPr="00CF2B72">
        <w:rPr>
          <w:rFonts w:ascii="GHEA Grapalat" w:eastAsia="Times New Roman" w:hAnsi="GHEA Grapalat" w:cs="Times New Roman"/>
          <w:kern w:val="0"/>
          <w:lang w:val="hy-AM"/>
          <w14:ligatures w14:val="none"/>
        </w:rPr>
        <w:t>Կարգի 27-րդ կետով նախատեսված ընթացակարգի տրամաբանությամբ սույն եզրակացությամբ գնահատվում են գնումների համակարգողի բարձրացրած ռիսկի հիմնավորվածությունը, գնահատող</w:t>
      </w:r>
      <w:r w:rsidR="00EB4AF0">
        <w:rPr>
          <w:rFonts w:ascii="GHEA Grapalat" w:eastAsia="Times New Roman" w:hAnsi="GHEA Grapalat" w:cs="Times New Roman"/>
          <w:kern w:val="0"/>
          <w:lang w:val="hy-AM"/>
          <w14:ligatures w14:val="none"/>
        </w:rPr>
        <w:t xml:space="preserve"> հանձնաժողովի մոտեցման իրավ</w:t>
      </w:r>
      <w:bookmarkStart w:id="0" w:name="_GoBack"/>
      <w:bookmarkEnd w:id="0"/>
      <w:r w:rsidR="00CF2B72" w:rsidRPr="00CF2B72">
        <w:rPr>
          <w:rFonts w:ascii="GHEA Grapalat" w:eastAsia="Times New Roman" w:hAnsi="GHEA Grapalat" w:cs="Times New Roman"/>
          <w:kern w:val="0"/>
          <w:lang w:val="hy-AM"/>
          <w14:ligatures w14:val="none"/>
        </w:rPr>
        <w:t>ա</w:t>
      </w:r>
      <w:r w:rsidR="00CF2B72">
        <w:rPr>
          <w:rFonts w:ascii="GHEA Grapalat" w:eastAsia="Times New Roman" w:hAnsi="GHEA Grapalat" w:cs="Times New Roman"/>
          <w:kern w:val="0"/>
          <w:lang w:val="hy-AM"/>
          <w14:ligatures w14:val="none"/>
        </w:rPr>
        <w:t xml:space="preserve">չափությունն ու </w:t>
      </w:r>
      <w:r w:rsidRPr="00CF2B72">
        <w:rPr>
          <w:rFonts w:ascii="GHEA Grapalat" w:eastAsia="Times New Roman" w:hAnsi="GHEA Grapalat" w:cs="Times New Roman"/>
          <w:kern w:val="0"/>
          <w:lang w:val="hy-AM"/>
          <w14:ligatures w14:val="none"/>
        </w:rPr>
        <w:t>հետագա հնարավոր ընթացակարգային քայլերը։ Սույն եզրակացությունը չի փոխարինում գնահատող հանձնաժողովի՝ հայտերը գնահատելու և ընթացակարգի արդյունքները որոշելու իրավասությանը։</w:t>
      </w:r>
    </w:p>
    <w:p w14:paraId="7AB35F1F" w14:textId="64AEF9C8" w:rsidR="00CB3FE1" w:rsidRPr="00CF2B72" w:rsidRDefault="00CB3FE1" w:rsidP="00CB3FE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:lang w:val="hy-AM"/>
          <w14:ligatures w14:val="none"/>
        </w:rPr>
      </w:pPr>
    </w:p>
    <w:p w14:paraId="4E5533A1" w14:textId="77777777" w:rsidR="00CB3FE1" w:rsidRPr="00EB4AF0" w:rsidRDefault="00CB3FE1" w:rsidP="00CB3FE1">
      <w:pPr>
        <w:spacing w:after="0" w:line="276" w:lineRule="auto"/>
        <w:ind w:firstLine="450"/>
        <w:jc w:val="both"/>
        <w:outlineLvl w:val="1"/>
        <w:rPr>
          <w:rFonts w:ascii="GHEA Grapalat" w:eastAsia="Times New Roman" w:hAnsi="GHEA Grapalat" w:cs="Times New Roman"/>
          <w:b/>
          <w:bCs/>
          <w:kern w:val="0"/>
          <w:lang w:val="hy-AM"/>
          <w14:ligatures w14:val="none"/>
        </w:rPr>
      </w:pPr>
      <w:r w:rsidRPr="00EB4AF0">
        <w:rPr>
          <w:rFonts w:ascii="GHEA Grapalat" w:eastAsia="Times New Roman" w:hAnsi="GHEA Grapalat" w:cs="Times New Roman"/>
          <w:b/>
          <w:bCs/>
          <w:kern w:val="0"/>
          <w:lang w:val="hy-AM"/>
          <w14:ligatures w14:val="none"/>
        </w:rPr>
        <w:t>2. Փաստական հանգամանքները</w:t>
      </w:r>
    </w:p>
    <w:p w14:paraId="5B8E5926" w14:textId="77777777" w:rsidR="00CB3FE1" w:rsidRPr="00EB4AF0" w:rsidRDefault="00CB3FE1" w:rsidP="00CB3FE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:lang w:val="hy-AM"/>
          <w14:ligatures w14:val="none"/>
        </w:rPr>
      </w:pPr>
      <w:r w:rsidRPr="00EB4AF0">
        <w:rPr>
          <w:rFonts w:ascii="GHEA Grapalat" w:eastAsia="Times New Roman" w:hAnsi="GHEA Grapalat" w:cs="Times New Roman"/>
          <w:kern w:val="0"/>
          <w:lang w:val="hy-AM"/>
          <w14:ligatures w14:val="none"/>
        </w:rPr>
        <w:t>ՀՀ քաղաքաշինության կոմիտեի կողմից ՀՀ Լոռու մարզի «Վանաձորի Հ. Աբելյանի անվան պետական դրամատիկական թատրոն» ՊՈԱԿ-ի կառուցման աշխատանքների ձեռքբերման նպատակով կազմակերպվել է ՀՀՔԿ-ԲՄԱՇՁԲ-26/7 ծածկագրով բաց մրցույթ։</w:t>
      </w:r>
    </w:p>
    <w:p w14:paraId="7EFEE224" w14:textId="77777777" w:rsidR="00CB3FE1" w:rsidRPr="00CB3FE1" w:rsidRDefault="00CB3FE1" w:rsidP="00CB3FE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EB4AF0">
        <w:rPr>
          <w:rFonts w:ascii="GHEA Grapalat" w:eastAsia="Times New Roman" w:hAnsi="GHEA Grapalat" w:cs="Times New Roman"/>
          <w:kern w:val="0"/>
          <w:lang w:val="hy-AM"/>
          <w14:ligatures w14:val="none"/>
        </w:rPr>
        <w:t xml:space="preserve">Ընթացակարգի հրավերով գնման գինը սահմանվել է </w:t>
      </w:r>
      <w:r w:rsidRPr="00EB4AF0">
        <w:rPr>
          <w:rFonts w:ascii="GHEA Grapalat" w:eastAsia="Times New Roman" w:hAnsi="GHEA Grapalat" w:cs="Times New Roman"/>
          <w:b/>
          <w:bCs/>
          <w:kern w:val="0"/>
          <w:lang w:val="hy-AM"/>
          <w14:ligatures w14:val="none"/>
        </w:rPr>
        <w:t>3,334,004,030 ՀՀ դրամ</w:t>
      </w:r>
      <w:r w:rsidRPr="00EB4AF0">
        <w:rPr>
          <w:rFonts w:ascii="GHEA Grapalat" w:eastAsia="Times New Roman" w:hAnsi="GHEA Grapalat" w:cs="Times New Roman"/>
          <w:kern w:val="0"/>
          <w:lang w:val="hy-AM"/>
          <w14:ligatures w14:val="none"/>
        </w:rPr>
        <w:t xml:space="preserve">, իսկ հրավերի 7.1 կետով հայտի ապահովման չափը՝ գնման գնի </w:t>
      </w:r>
      <w:r w:rsidRPr="00EB4AF0">
        <w:rPr>
          <w:rFonts w:ascii="GHEA Grapalat" w:eastAsia="Times New Roman" w:hAnsi="GHEA Grapalat" w:cs="Times New Roman"/>
          <w:b/>
          <w:bCs/>
          <w:kern w:val="0"/>
          <w:lang w:val="hy-AM"/>
          <w14:ligatures w14:val="none"/>
        </w:rPr>
        <w:t>5 տոկոսը</w:t>
      </w:r>
      <w:r w:rsidRPr="00EB4AF0">
        <w:rPr>
          <w:rFonts w:ascii="GHEA Grapalat" w:eastAsia="Times New Roman" w:hAnsi="GHEA Grapalat" w:cs="Times New Roman"/>
          <w:kern w:val="0"/>
          <w:lang w:val="hy-AM"/>
          <w14:ligatures w14:val="none"/>
        </w:rPr>
        <w:t xml:space="preserve">։ 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Նշված հաշվարկով հայտի ապահովման չափը կազմում է 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166,700,201.5 ՀՀ դրամ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>։</w:t>
      </w:r>
    </w:p>
    <w:p w14:paraId="13366908" w14:textId="77777777" w:rsidR="00CB3FE1" w:rsidRPr="00CB3FE1" w:rsidRDefault="00CB3FE1" w:rsidP="00CB3FE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Գնային առաջարկների գնահատման արդյունքում առաջին տեղ զբաղեցրած 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«Բաղրամյանշին» ԲԲԸ-ն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 հայտով ներկայացրել է հայտի ապահովում բանկային 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lastRenderedPageBreak/>
        <w:t xml:space="preserve">երաշխիքի ձևով, որի տեքստում բանկի վճարման պարտավորությունը նշվել է 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166,700,200 ՀՀ դրամ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։ Այսպիսով, հրավերի 7.1 կետի բառացի հաշվարկի համեմատ առկա է 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1.5 ՀՀ դրամի տարբերություն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>։</w:t>
      </w:r>
    </w:p>
    <w:p w14:paraId="2968053D" w14:textId="77777777" w:rsidR="00CB3FE1" w:rsidRPr="00CB3FE1" w:rsidRDefault="00CB3FE1" w:rsidP="00CB3FE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kern w:val="0"/>
          <w14:ligatures w14:val="none"/>
        </w:rPr>
        <w:t>Միաժամանակ բանկային երաշխիքի 1-ին կետով այն նույնականացվել է որպես ՀՀՔԿ-ԲՄԱՇՁԲ-26/7 ծածկագրով կազմակերպված գնման ընթացակարգին մասնակցելուց բխող՝ նույն ծածկագրով հրավերով սահմանված պարտավորությունների կատարման ապահովում։</w:t>
      </w:r>
    </w:p>
    <w:p w14:paraId="3E7CEBC9" w14:textId="79639AA2" w:rsidR="00CB3FE1" w:rsidRPr="00CB3FE1" w:rsidRDefault="00CB3FE1" w:rsidP="0003356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«Բաղրամյանշին» ԲԲԸ-ի գնային առաջարկը կազմել է 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2,850,000,000 ՀՀ դրամ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, որի 5 տոկոսը կազմում է 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142,500,000 ՀՀ դրամ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։ Ներկայացված բանկային երաշխիքի սկզբնական գումարը նշված չափը գերազանցում է 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24,200,200 ՀՀ դրամով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>։</w:t>
      </w:r>
    </w:p>
    <w:p w14:paraId="596E53E3" w14:textId="77777777" w:rsidR="00CB3FE1" w:rsidRPr="00CB3FE1" w:rsidRDefault="00CB3FE1" w:rsidP="00CB3FE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Հաջորդ տեղ զբաղեցրած մասնակցի գնային առաջարկը առաջին տեղ զբաղեցրած մասնակցի առաջարկից բարձր է առնվազն շուրջ 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38,888,000 ՀՀ դրամով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>։</w:t>
      </w:r>
    </w:p>
    <w:p w14:paraId="6E42F619" w14:textId="229F9B7D" w:rsidR="00CB3FE1" w:rsidRPr="00CB3FE1" w:rsidRDefault="00CB3FE1" w:rsidP="00CB3FE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</w:p>
    <w:p w14:paraId="19E8139F" w14:textId="77777777" w:rsidR="00CB3FE1" w:rsidRPr="00CB3FE1" w:rsidRDefault="00CB3FE1" w:rsidP="00CB3FE1">
      <w:pPr>
        <w:spacing w:after="0" w:line="276" w:lineRule="auto"/>
        <w:ind w:firstLine="450"/>
        <w:jc w:val="both"/>
        <w:outlineLvl w:val="1"/>
        <w:rPr>
          <w:rFonts w:ascii="GHEA Grapalat" w:eastAsia="Times New Roman" w:hAnsi="GHEA Grapalat" w:cs="Times New Roman"/>
          <w:b/>
          <w:bCs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3. Կիրառելի իրավակարգավորումները</w:t>
      </w:r>
    </w:p>
    <w:p w14:paraId="03EF469E" w14:textId="77777777" w:rsidR="00CB3FE1" w:rsidRPr="00CB3FE1" w:rsidRDefault="00CB3FE1" w:rsidP="00CB3FE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kern w:val="0"/>
          <w14:ligatures w14:val="none"/>
        </w:rPr>
        <w:t>«Գնումների մասին» օրենքի 2-րդ հոդվածի 1-ին մասի 9-րդ և 24-րդ կետերի համաձայն՝ հայտի ապահովումը մասնակցի կողմից հայտով ստանձնած պարտավորությունների կատարումն ապահովող միջոց է, իսկ գնման գինը՝ ապրանքը, աշխատանքը կամ ծառայությունը ձեռք բերելու համար ՀՀ կառավարության սահմանած կարգով հաշվարկված նախահաշվային գինը։</w:t>
      </w:r>
    </w:p>
    <w:p w14:paraId="0D74D6D2" w14:textId="77777777" w:rsidR="00CB3FE1" w:rsidRPr="00CB3FE1" w:rsidRDefault="00CB3FE1" w:rsidP="00CB3FE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kern w:val="0"/>
          <w14:ligatures w14:val="none"/>
        </w:rPr>
        <w:t>Նույն օրենքի 3-րդ հոդվածով գնումների գործընթացի նպատակ է սահմանվել «հատուցման դիմաց արժեքի» ապահովումը, այդ թվում՝ պատվիրատուի կարիքին համապատասխան ապրանքների, աշխատանքների և ծառայությունների ձեռքբերումը համարժեք հատուցմամբ, ինչպես նաև գնումների և գնումների գործընթացի տնտեսող, արդյունավետ և օգտավետ իրականացումը։ Գնման գործընթացը պետք է կազմակերպվի մրցակցային, թափանցիկ, համաչափ, հրապարակային և ոչ խտրական հիմունքներով՝ ապահովելով մասնակիցների իրավահավասարությունը և մրցակցության խրախուսումը։</w:t>
      </w:r>
    </w:p>
    <w:p w14:paraId="5661EB56" w14:textId="77777777" w:rsidR="00CB3FE1" w:rsidRPr="00CB3FE1" w:rsidRDefault="00CB3FE1" w:rsidP="00CB3FE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Օրենքի 5-րդ հոդվածի 1-ին մասի 6-րդ, 7-րդ, 8-րդ և 17-րդ կետերով ՀՀ կառավարությանը վերապահված է գնում կատարելու ընթացակարգերի կիրարկման կարգը և դրանց առանձնահատկությունները, գնահատող հանձնաժողովի կազմավորման և գործունեության կարգը, հրավերի ու պայմանագրի հիմնական 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lastRenderedPageBreak/>
        <w:t>պայմանները, ինչպես նաև հայտի, պայմանագրի և որակավորման ապահովման ձևին ու չափին ներկայացվող պահանջները հաստատելու լիազորությունը։</w:t>
      </w:r>
    </w:p>
    <w:p w14:paraId="058E332A" w14:textId="77777777" w:rsidR="00CB3FE1" w:rsidRPr="00CB3FE1" w:rsidRDefault="00CB3FE1" w:rsidP="00CB3FE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kern w:val="0"/>
          <w14:ligatures w14:val="none"/>
        </w:rPr>
        <w:t>ՀՀ կառավարության 04.05.2017թ. N 526-Ն որոշման N 1 հավելվածի 2-րդ կետի համաձայն՝ հրավերում և պայմանագրում հիմնական պայմանների ներառման, ինչպես նաև գնումների մասին օրենսդրությամբ պատվիրատուների համար սահմանված պահանջների կատարման պատասխանատվությունը կրում է պատվիրատուն։ Նույն հավելվածի 3-րդ կետը նախատեսում է Կառավարությանը դիմելու հնարավորություն՝ գնումն առանց Կարգով սահմանված պայմաններից մեկի կամ մի քանիսի պահպանման իրականացնելու թույլտվություն ստանալու նպատակով, սակայն այդ հնարավորությունը կիրառելի է միայն մինչև հրավերի հրապարակումը կամ մասնակցին տրամադրումը, բացառությամբ օրենքի 23-րդ հոդվածի 1-ին մասի 1-ին կետի հիմքով կազմակերպվող գնումների։</w:t>
      </w:r>
    </w:p>
    <w:p w14:paraId="3B4D7B78" w14:textId="77777777" w:rsidR="00CB3FE1" w:rsidRPr="00CB3FE1" w:rsidRDefault="00CB3FE1" w:rsidP="00CB3FE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kern w:val="0"/>
          <w14:ligatures w14:val="none"/>
        </w:rPr>
        <w:t>Կարգի 14-րդ կետի համաձայն՝ գնահատող հանձնաժողովը հաստատում է հայտարարության և հրավերի տեքստերը, բացում և գնահատում է հայտերը, որոշում է գնման ընթացակարգի հաղթողին, ինչպես նաև օրենքով և Կարգով նախատեսված դեպքերում ընթացակարգը հայտարարում է չկայացած։</w:t>
      </w:r>
    </w:p>
    <w:p w14:paraId="268680B0" w14:textId="7B490233" w:rsidR="00CB3FE1" w:rsidRPr="00CB3FE1" w:rsidRDefault="00CB3FE1" w:rsidP="0009503A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Կարգի 32-րդ կետի </w:t>
      </w:r>
      <w:r w:rsidR="00F32814">
        <w:rPr>
          <w:rFonts w:ascii="GHEA Grapalat" w:eastAsia="Times New Roman" w:hAnsi="GHEA Grapalat" w:cs="Times New Roman"/>
          <w:kern w:val="0"/>
          <w:lang w:val="hy-AM"/>
          <w14:ligatures w14:val="none"/>
        </w:rPr>
        <w:t>9</w:t>
      </w:r>
      <w:r w:rsidR="00F32814">
        <w:rPr>
          <w:rFonts w:ascii="GHEA Grapalat" w:eastAsia="Times New Roman" w:hAnsi="GHEA Grapalat" w:cs="Times New Roman"/>
          <w:kern w:val="0"/>
          <w14:ligatures w14:val="none"/>
        </w:rPr>
        <w:t>-րդ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 </w:t>
      </w:r>
      <w:r w:rsidR="0009503A">
        <w:rPr>
          <w:rFonts w:ascii="GHEA Grapalat" w:eastAsia="Times New Roman" w:hAnsi="GHEA Grapalat" w:cs="Times New Roman"/>
          <w:kern w:val="0"/>
          <w14:ligatures w14:val="none"/>
        </w:rPr>
        <w:t>կետը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 կարգավորում է հայտի և պայմանագրի ապահովման ներկայացման անհրաժեշտության և ձ</w:t>
      </w:r>
      <w:r w:rsidR="0009503A">
        <w:rPr>
          <w:rFonts w:ascii="GHEA Grapalat" w:eastAsia="Times New Roman" w:hAnsi="GHEA Grapalat" w:cs="Times New Roman"/>
          <w:kern w:val="0"/>
          <w14:ligatures w14:val="none"/>
        </w:rPr>
        <w:t>ևի հարցերը</w:t>
      </w:r>
      <w:r w:rsidR="0009503A">
        <w:rPr>
          <w:rFonts w:ascii="GHEA Grapalat" w:eastAsia="Times New Roman" w:hAnsi="GHEA Grapalat" w:cs="Times New Roman"/>
          <w:kern w:val="0"/>
          <w:lang w:val="hy-AM"/>
          <w14:ligatures w14:val="none"/>
        </w:rPr>
        <w:t xml:space="preserve">՝ հղում </w:t>
      </w:r>
      <w:r w:rsidR="00AF5E4E">
        <w:rPr>
          <w:rFonts w:ascii="GHEA Grapalat" w:eastAsia="Times New Roman" w:hAnsi="GHEA Grapalat" w:cs="Times New Roman"/>
          <w:kern w:val="0"/>
          <w:lang w:val="hy-AM"/>
          <w14:ligatures w14:val="none"/>
        </w:rPr>
        <w:t>կատարելով Կարգի</w:t>
      </w:r>
      <w:r w:rsidR="0009503A">
        <w:rPr>
          <w:rFonts w:ascii="GHEA Grapalat" w:eastAsia="Times New Roman" w:hAnsi="GHEA Grapalat" w:cs="Times New Roman"/>
          <w:kern w:val="0"/>
          <w:lang w:val="hy-AM"/>
          <w14:ligatures w14:val="none"/>
        </w:rPr>
        <w:t xml:space="preserve"> </w:t>
      </w:r>
      <w:r w:rsidR="00AF5E4E">
        <w:rPr>
          <w:rFonts w:ascii="GHEA Grapalat" w:eastAsia="Times New Roman" w:hAnsi="GHEA Grapalat" w:cs="Times New Roman"/>
          <w:kern w:val="0"/>
          <w:lang w:val="hy-AM"/>
          <w14:ligatures w14:val="none"/>
        </w:rPr>
        <w:t>ն</w:t>
      </w:r>
      <w:r w:rsidR="00AF5E4E" w:rsidRPr="00AF5E4E">
        <w:rPr>
          <w:rFonts w:ascii="GHEA Grapalat" w:eastAsia="Times New Roman" w:hAnsi="GHEA Grapalat" w:cs="Times New Roman"/>
          <w:kern w:val="0"/>
          <w:lang w:val="hy-AM"/>
          <w14:ligatures w14:val="none"/>
        </w:rPr>
        <w:t>ույն կետի 1-ին ենթակետի «ե» պարբերությամբ սահմանված չափ</w:t>
      </w:r>
      <w:r w:rsidR="00AF5E4E">
        <w:rPr>
          <w:rFonts w:ascii="GHEA Grapalat" w:eastAsia="Times New Roman" w:hAnsi="GHEA Grapalat" w:cs="Times New Roman"/>
          <w:kern w:val="0"/>
          <w:lang w:val="hy-AM"/>
          <w14:ligatures w14:val="none"/>
        </w:rPr>
        <w:t>ին</w:t>
      </w:r>
      <w:r w:rsidRPr="00AF5E4E">
        <w:rPr>
          <w:rFonts w:ascii="GHEA Grapalat" w:eastAsia="Times New Roman" w:hAnsi="GHEA Grapalat" w:cs="Times New Roman"/>
          <w:kern w:val="0"/>
          <w:lang w:val="hy-AM"/>
          <w14:ligatures w14:val="none"/>
        </w:rPr>
        <w:t>։</w:t>
      </w:r>
    </w:p>
    <w:p w14:paraId="1103AE77" w14:textId="77777777" w:rsidR="00CB3FE1" w:rsidRPr="00CB3FE1" w:rsidRDefault="00CB3FE1" w:rsidP="00CB3FE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kern w:val="0"/>
          <w14:ligatures w14:val="none"/>
        </w:rPr>
        <w:t>Կարգի 40-րդ կետի 4-րդ ենթակետով հանձնաժողովը մերժում է այն հայտերը, որոնցում բացակայում է գնային առաջարկը և/կամ հայտի ապահովումը, կամ եթե դրանք ներկայացված են հրավերի պահանջներին անհամապատասխան՝ բացառությամբ Կարգի 41-րդ կետով նախատեսված դեպքի։ Նույն մոտեցումն ամրագրված է նաև հրավերի 7.6 կետով, որի համաձայն՝ մասնակցի հայտը ենթակա է մերժման, եթե դրանում բացակայում է հայտի ապահովումը կամ այն ներկայացված է հրավերի պահանջներին անհամապատասխան։</w:t>
      </w:r>
    </w:p>
    <w:p w14:paraId="3E92654E" w14:textId="4FE7AD25" w:rsidR="00CB3FE1" w:rsidRPr="00CB3FE1" w:rsidRDefault="00CB3FE1" w:rsidP="00033561">
      <w:pPr>
        <w:spacing w:after="0" w:line="276" w:lineRule="auto"/>
        <w:jc w:val="both"/>
        <w:rPr>
          <w:rFonts w:ascii="GHEA Grapalat" w:eastAsia="Times New Roman" w:hAnsi="GHEA Grapalat" w:cs="Times New Roman"/>
          <w:kern w:val="0"/>
          <w14:ligatures w14:val="none"/>
        </w:rPr>
      </w:pPr>
    </w:p>
    <w:p w14:paraId="3515F104" w14:textId="77777777" w:rsidR="00CB3FE1" w:rsidRPr="00CB3FE1" w:rsidRDefault="00CB3FE1" w:rsidP="00CB3FE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Քննարկվող իրավիճակում գնահատման առարկան ոչ թե հայտի ապահովման բացակայությունն է, այլ արդեն ներկայացված բանկային երաշխիքում նշված գումարի և հրավերի 7.1 կետի հաշվարկով պահանջվող հայտի ապահովման չափի միջև առկա 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1.5 ՀՀ դրամ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 տարբերության իրավական հետևանքը։</w:t>
      </w:r>
    </w:p>
    <w:p w14:paraId="25CBF0DC" w14:textId="77777777" w:rsidR="00CB3FE1" w:rsidRPr="00CB3FE1" w:rsidRDefault="00CB3FE1" w:rsidP="00CB3FE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Հայտի ապահովումը փաստացի ներկայացվել է և նույնականացված է ՀՀՔԿ-ԲՄԱՇՁԲ-26/7 ծածկագրով գնման ընթացակարգի հետ։ Բանկային երաշխիքի 1-ին կետով այն սահմանվել է որպես «Բաղրամյանշին» ԲԲԸ-ի՝ տվյալ ընթացակարգին 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lastRenderedPageBreak/>
        <w:t>մասնակցելուց բխող, նույն ծածկագրով հրավերով սահմանված պարտավորությունների կատարման ապահովում։ Հետևաբար ներկայացված փաստաթուղթն իր նպատակով և առարկայով ուղղված է եղել հենց տվյալ ընթացակարգի շրջանակում մասնակցի հայտով ստանձնած պարտավորությունների ապահովմանը։</w:t>
      </w:r>
    </w:p>
    <w:p w14:paraId="1BE3E990" w14:textId="77777777" w:rsidR="00CB3FE1" w:rsidRPr="00CB3FE1" w:rsidRDefault="00CB3FE1" w:rsidP="00CB3FE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Միաժամանակ երաշխիքում բանկի վճարման պարտավորությունը թվային արտահայտությամբ սահմանվել է 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166,700,200 ՀՀ դրամ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, մինչդեռ հրավերի 7.1 կետի հաշվարկով հայտի ապահովման չափը կազմում է 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166,700,201.5 ՀՀ դրամ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։ Այսինքն՝ առկա է 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1.5 ՀՀ դրամի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 տարբերություն, որը չի կարող ամբողջությամբ անտեսվել՝ հաշվի առնելով հայտի ապահովման նկատմամբ Կարգով և հրավերով սահմանված խիստ մոտեցումը։</w:t>
      </w:r>
    </w:p>
    <w:p w14:paraId="1183F149" w14:textId="77777777" w:rsidR="00CB3FE1" w:rsidRPr="00CB3FE1" w:rsidRDefault="00CB3FE1" w:rsidP="00CB3FE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Նշված տարբերությունը, իր չափով, ակնհայտորեն չնչին է և ինքնին չի կարող փաստացիորեն չեզոքացնել հայտի ապահովման գործառնական նշանակությունը կամ էականորեն նվազեցնել պատվիրատուի ապահովվածությունը։ Այդ հանգամանքն առավել ընդգծվում է այն փաստով, որ «Բաղրամյանշին» ԲԲԸ-ի գնային առաջարկը կազմել է 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2,850,000,000 ՀՀ դրամ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, որի 5 տոկոսը կազմում է 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142,500,000 ՀՀ դրամ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, իսկ ներկայացված երաշխիքի սկզբնական գումարը՝ 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166,700,200 ՀՀ դրամ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, այդ չափը գերազանցում է 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24,200,200 ՀՀ դրամով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>։ Այս փաստը չի փոխարինում հրավերի 7.1 կետի պահանջին և չի կարող դիտվել որպես հայտի ապահովման չափի հաշվարկման ինքնուրույն կանոն, սակայն կարող է հաշվի առնվել հայտի ապահովման նպատակի, շեղման էականության և պատվիրատուի փաստացի ապահովվածության գնահատման ժամանակ։</w:t>
      </w:r>
    </w:p>
    <w:p w14:paraId="0DCC4B4C" w14:textId="4FFE3D93" w:rsidR="00CB3FE1" w:rsidRPr="00CB3FE1" w:rsidRDefault="00CB3FE1" w:rsidP="00CB3FE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kern w:val="0"/>
          <w14:ligatures w14:val="none"/>
        </w:rPr>
        <w:t>Այս համատեքստում վերաբերելի են ՀՀ վճռաբեկ դատարանի</w:t>
      </w:r>
      <w:r w:rsidR="00CF2B72">
        <w:rPr>
          <w:rFonts w:ascii="GHEA Grapalat" w:eastAsia="Times New Roman" w:hAnsi="GHEA Grapalat" w:cs="Times New Roman"/>
          <w:kern w:val="0"/>
          <w:lang w:val="hy-AM"/>
          <w14:ligatures w14:val="none"/>
        </w:rPr>
        <w:t>՝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 թիվ 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ԵԴ/12436/02/18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 քաղաքացիական գործով</w:t>
      </w:r>
      <w:r w:rsidR="00CF2B72">
        <w:rPr>
          <w:rFonts w:ascii="GHEA Grapalat" w:eastAsia="Times New Roman" w:hAnsi="GHEA Grapalat" w:cs="Times New Roman"/>
          <w:kern w:val="0"/>
          <w:lang w:val="hy-AM"/>
          <w14:ligatures w14:val="none"/>
        </w:rPr>
        <w:t xml:space="preserve"> </w:t>
      </w:r>
      <w:r w:rsidR="00CF2B72" w:rsidRPr="00CF2B72">
        <w:rPr>
          <w:rFonts w:ascii="GHEA Grapalat" w:eastAsia="Times New Roman" w:hAnsi="GHEA Grapalat" w:cs="Times New Roman"/>
          <w:kern w:val="0"/>
          <w:lang w:val="hy-AM"/>
          <w14:ligatures w14:val="none"/>
        </w:rPr>
        <w:t>2021</w:t>
      </w:r>
      <w:r w:rsidR="00CF2B72" w:rsidRPr="00CF2B72">
        <w:rPr>
          <w:rFonts w:ascii="Calibri" w:eastAsia="Times New Roman" w:hAnsi="Calibri" w:cs="Calibri"/>
          <w:kern w:val="0"/>
          <w:lang w:val="hy-AM"/>
          <w14:ligatures w14:val="none"/>
        </w:rPr>
        <w:t> </w:t>
      </w:r>
      <w:r w:rsidR="00CF2B72" w:rsidRPr="00CF2B72">
        <w:rPr>
          <w:rFonts w:ascii="GHEA Grapalat" w:eastAsia="Times New Roman" w:hAnsi="GHEA Grapalat" w:cs="Times New Roman"/>
          <w:kern w:val="0"/>
          <w14:ligatures w14:val="none"/>
        </w:rPr>
        <w:t>թվականի</w:t>
      </w:r>
      <w:r w:rsidR="00CF2B72" w:rsidRPr="00CF2B72">
        <w:rPr>
          <w:rFonts w:ascii="Calibri" w:eastAsia="Times New Roman" w:hAnsi="Calibri" w:cs="Calibri"/>
          <w:kern w:val="0"/>
          <w14:ligatures w14:val="none"/>
        </w:rPr>
        <w:t> </w:t>
      </w:r>
      <w:r w:rsidR="00CF2B72" w:rsidRPr="00CF2B72">
        <w:rPr>
          <w:rFonts w:ascii="GHEA Grapalat" w:eastAsia="Times New Roman" w:hAnsi="GHEA Grapalat" w:cs="Times New Roman"/>
          <w:kern w:val="0"/>
          <w:lang w:val="hy-AM"/>
          <w14:ligatures w14:val="none"/>
        </w:rPr>
        <w:t>հոկտեմբերի 22</w:t>
      </w:r>
      <w:r w:rsidR="00CF2B72" w:rsidRPr="00CF2B72">
        <w:rPr>
          <w:rFonts w:ascii="GHEA Grapalat" w:eastAsia="Times New Roman" w:hAnsi="GHEA Grapalat" w:cs="Times New Roman"/>
          <w:kern w:val="0"/>
          <w:lang w:val="fr-FR"/>
          <w14:ligatures w14:val="none"/>
        </w:rPr>
        <w:t>-</w:t>
      </w:r>
      <w:r w:rsidR="00CF2B72" w:rsidRPr="00CF2B72">
        <w:rPr>
          <w:rFonts w:ascii="GHEA Grapalat" w:eastAsia="Times New Roman" w:hAnsi="GHEA Grapalat" w:cs="Times New Roman"/>
          <w:kern w:val="0"/>
          <w14:ligatures w14:val="none"/>
        </w:rPr>
        <w:t>ի</w:t>
      </w:r>
      <w:r w:rsidR="00CF2B72">
        <w:rPr>
          <w:rFonts w:ascii="GHEA Grapalat" w:eastAsia="Times New Roman" w:hAnsi="GHEA Grapalat" w:cs="Times New Roman"/>
          <w:kern w:val="0"/>
          <w:lang w:val="hy-AM"/>
          <w14:ligatures w14:val="none"/>
        </w:rPr>
        <w:t xml:space="preserve"> որոշմամբ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 արտահայտած իրավական դիրքորոշումները։ Վճռաբեկ դատարանը հայտի ապահովման նպատակը դիտարկել է որպես մասնակցի կողմից հայտերի ներկայացման փուլից մինչև պայմանագրի կնքման փուլը հայտի ներկայացմամբ ստանձնած պարտավորությունների կատարման ապահովում՝ միաժամանակ ընդգծելով գնումների գործընթացի «հատուցման դիմաց արժեքի», տնտեսող, արդյունավետ և օգտավետ իրականացման նշանակությունը։ Այդ մոտեցումը թույլ է տալիս հայտի ապահովումը գնահատել ոչ միայն ձևական համապատասխանության, այլև դրա նպատակի, ապահովվող պարտավորությունների շրջանակի և գործառնական նշանակության տեսանկյունից։ Միևնույն ժամանակ այն չի կարող մեկնաբանվել որպես հրավերի կամ Կարգի պարտադիր պահանջներից շեղվելու ընդհանուր թույլտվություն։</w:t>
      </w:r>
    </w:p>
    <w:p w14:paraId="29A63267" w14:textId="77777777" w:rsidR="00CB3FE1" w:rsidRPr="00CB3FE1" w:rsidRDefault="00CB3FE1" w:rsidP="00CB3FE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Այսպիսով, առկա են հակակշռող իրավական հանգամանքներ։ </w:t>
      </w:r>
      <w:r w:rsidRPr="00033561">
        <w:rPr>
          <w:rFonts w:ascii="GHEA Grapalat" w:eastAsia="Times New Roman" w:hAnsi="GHEA Grapalat" w:cs="Times New Roman"/>
          <w:b/>
          <w:kern w:val="0"/>
          <w14:ligatures w14:val="none"/>
        </w:rPr>
        <w:t>Մի կողմից՝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 գնահատող հանձնաժողովի մոտեցումը կարող է հիմնավորվել հայտի ապահովման փաստացի ներկայացված լինելու, տվյալ ընթացակարգի հետ դրա նույնականացման, տարբերության ակնհայտ չնչին չափի, բանկի կողմից տեխնիկական վրիպակի մասին գրության, երաշխիքի գործառնական բավարարության և պետական միջոցների առնվազն շուրջ 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38,888,000 ՀՀ դրամի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 հնարավոր լրացուցիչ ծախսից խուսափելու փաստարկներով։ Այս հանգամանքները կարող են վկայակոչվել համաչափության, հայտի ապահովման նպատակի, «հատուցման դիմաց արժեքի» և պետական միջոցների արդյունավետ օգտագործման սկզբունքների համատեքստում։</w:t>
      </w:r>
    </w:p>
    <w:p w14:paraId="67E8513D" w14:textId="77777777" w:rsidR="00CB3FE1" w:rsidRPr="00CB3FE1" w:rsidRDefault="00CB3FE1" w:rsidP="00CB3FE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033561">
        <w:rPr>
          <w:rFonts w:ascii="GHEA Grapalat" w:eastAsia="Times New Roman" w:hAnsi="GHEA Grapalat" w:cs="Times New Roman"/>
          <w:b/>
          <w:kern w:val="0"/>
          <w14:ligatures w14:val="none"/>
        </w:rPr>
        <w:t>Մյուս կողմից՝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 նշված հանգամանքները չեն վերացնում այն փաստը, որ հրավերի 7.1 կետի հաշվարկով հայտի ապահովման չափը կազմել է 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166,700,201.5 ՀՀ դրամ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, մինչդեռ ներկայացված երաշխիքում բանկի վճարման պարտավորությունը սահմանվել է 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166,700,200 ՀՀ դրամ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։ Եթե այդ տարբերությունը գնահատվի որպես հայտի ապահովման՝ հրավերի պահանջներին անհամապատասխան ներկայացում, ապա Կարգի և հրավերի գործող կարգավորումների համաձայն </w:t>
      </w:r>
      <w:r w:rsidRPr="00033561">
        <w:rPr>
          <w:rFonts w:ascii="GHEA Grapalat" w:eastAsia="Times New Roman" w:hAnsi="GHEA Grapalat" w:cs="Times New Roman"/>
          <w:b/>
          <w:kern w:val="0"/>
          <w14:ligatures w14:val="none"/>
        </w:rPr>
        <w:t>հայտը ենթակա է մերժման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>, իսկ սովորական շտկման ընթացակարգը կիրառելի չէ։</w:t>
      </w:r>
    </w:p>
    <w:p w14:paraId="5681775C" w14:textId="604405A2" w:rsidR="00CB3FE1" w:rsidRPr="00CB3FE1" w:rsidRDefault="00CB3FE1" w:rsidP="00CB3FE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Հետևաբար գնահատող հանձնաժողովի դիրքորոշումը </w:t>
      </w:r>
      <w:r w:rsidRPr="00033561">
        <w:rPr>
          <w:rFonts w:ascii="GHEA Grapalat" w:eastAsia="Times New Roman" w:hAnsi="GHEA Grapalat" w:cs="Times New Roman"/>
          <w:b/>
          <w:kern w:val="0"/>
          <w14:ligatures w14:val="none"/>
        </w:rPr>
        <w:t>չի կարող համարվել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 ակնհայտ անհիմն կամ կամայական, քանի որ այն ունի փաստական, նպատակա</w:t>
      </w:r>
      <w:r w:rsidR="00CF2B72">
        <w:rPr>
          <w:rFonts w:ascii="GHEA Grapalat" w:eastAsia="Times New Roman" w:hAnsi="GHEA Grapalat" w:cs="Times New Roman"/>
          <w:kern w:val="0"/>
          <w14:ligatures w14:val="none"/>
        </w:rPr>
        <w:t>յին և համաչափության վրա հիմնված՝ իրավական բովանդակության առումով տրամաբանական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 հիմքեր։ Միաժամանակ այդ դիրքորոշումը գործող իրավակարգավորումների պայմաններում չի կարող համարվել լիովին </w:t>
      </w:r>
      <w:r w:rsidR="00CF2B72">
        <w:rPr>
          <w:rFonts w:ascii="GHEA Grapalat" w:eastAsia="Times New Roman" w:hAnsi="GHEA Grapalat" w:cs="Times New Roman"/>
          <w:kern w:val="0"/>
          <w:lang w:val="hy-AM"/>
          <w14:ligatures w14:val="none"/>
        </w:rPr>
        <w:t>իրավաչափ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>, քանի որ հայտի ապահովման մասով Կարգը և հրավերը սահմանում են խիստ պահանջներ, իսկ բանկի 13.05.2026թ. գրության իրավական բնույթը՝ որպես երաշխիքի բովանդակության պարզաբանում կամ որպես հայտերի բացումից հետո հայտի ապահովման փոփոխություն, կարող է դառնալ հնարավոր բողոքարկման առանցքային հարցը։</w:t>
      </w:r>
    </w:p>
    <w:p w14:paraId="43367C7D" w14:textId="665DBC84" w:rsidR="00CB3FE1" w:rsidRPr="00CB3FE1" w:rsidRDefault="00CB3FE1" w:rsidP="00CB3FE1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</w:p>
    <w:p w14:paraId="1C529FD4" w14:textId="77777777" w:rsidR="00CB3FE1" w:rsidRPr="00CB3FE1" w:rsidRDefault="00CB3FE1" w:rsidP="00CB3FE1">
      <w:pPr>
        <w:spacing w:after="0" w:line="276" w:lineRule="auto"/>
        <w:ind w:firstLine="450"/>
        <w:jc w:val="both"/>
        <w:outlineLvl w:val="1"/>
        <w:rPr>
          <w:rFonts w:ascii="GHEA Grapalat" w:eastAsia="Times New Roman" w:hAnsi="GHEA Grapalat" w:cs="Times New Roman"/>
          <w:b/>
          <w:bCs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6. Եզրահանգում</w:t>
      </w:r>
    </w:p>
    <w:p w14:paraId="5600875C" w14:textId="18580808" w:rsidR="00CB3FE1" w:rsidRPr="00CB3FE1" w:rsidRDefault="00CB3FE1" w:rsidP="00CB3FE1">
      <w:pPr>
        <w:spacing w:after="0" w:line="276" w:lineRule="auto"/>
        <w:ind w:firstLine="450"/>
        <w:jc w:val="both"/>
        <w:outlineLvl w:val="1"/>
        <w:rPr>
          <w:rFonts w:ascii="GHEA Grapalat" w:eastAsia="Times New Roman" w:hAnsi="GHEA Grapalat" w:cs="Times New Roman"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Իրավաբանական ծառայությունը գտնում է, որ գնումների համակարգողի </w:t>
      </w:r>
      <w:r w:rsidRPr="00033561">
        <w:rPr>
          <w:rFonts w:ascii="GHEA Grapalat" w:eastAsia="Times New Roman" w:hAnsi="GHEA Grapalat" w:cs="Times New Roman"/>
          <w:b/>
          <w:kern w:val="0"/>
          <w14:ligatures w14:val="none"/>
        </w:rPr>
        <w:t>բարձրացրած մտահոգությունը իրավակա</w:t>
      </w:r>
      <w:r w:rsidR="00033561">
        <w:rPr>
          <w:rFonts w:ascii="GHEA Grapalat" w:eastAsia="Times New Roman" w:hAnsi="GHEA Grapalat" w:cs="Times New Roman"/>
          <w:b/>
          <w:kern w:val="0"/>
          <w14:ligatures w14:val="none"/>
        </w:rPr>
        <w:t>ն առումով</w:t>
      </w:r>
      <w:r w:rsidRPr="00033561">
        <w:rPr>
          <w:rFonts w:ascii="GHEA Grapalat" w:eastAsia="Times New Roman" w:hAnsi="GHEA Grapalat" w:cs="Times New Roman"/>
          <w:b/>
          <w:kern w:val="0"/>
          <w14:ligatures w14:val="none"/>
        </w:rPr>
        <w:t xml:space="preserve"> հիմնավոր է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։ Հրավերի 7.1 կետի բառացի կիրառմամբ ներկայացված բանկային երաշխիքի գումարը 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1.5 ՀՀ դրամով պակաս է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 հրավերով հաշվարկվող հայտի ապահովման չափից, իսկ Կարգի և հրավերի գործող կարգավորումները հայտի ապահովման բացակայության կամ հրավերի պահանջներին անհամապատասխան ներկայացման դեպքում նախատեսում են հայտի մերժման հատուկ ռեժիմ։</w:t>
      </w:r>
    </w:p>
    <w:p w14:paraId="6D55A784" w14:textId="786F14DE" w:rsidR="00CB3FE1" w:rsidRPr="00CB3FE1" w:rsidRDefault="00CB3FE1" w:rsidP="00CB3FE1">
      <w:pPr>
        <w:spacing w:after="0" w:line="276" w:lineRule="auto"/>
        <w:ind w:firstLine="450"/>
        <w:jc w:val="both"/>
        <w:outlineLvl w:val="1"/>
        <w:rPr>
          <w:rFonts w:ascii="GHEA Grapalat" w:eastAsia="Times New Roman" w:hAnsi="GHEA Grapalat" w:cs="Times New Roman"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kern w:val="0"/>
          <w14:ligatures w14:val="none"/>
        </w:rPr>
        <w:t>Միաժամանակ գնահատող հանձնաժողով</w:t>
      </w:r>
      <w:r w:rsidR="00033561">
        <w:rPr>
          <w:rFonts w:ascii="GHEA Grapalat" w:eastAsia="Times New Roman" w:hAnsi="GHEA Grapalat" w:cs="Times New Roman"/>
          <w:kern w:val="0"/>
          <w14:ligatures w14:val="none"/>
        </w:rPr>
        <w:t>ի մոտեցումը զուրկ չէ փաստական ու վերլուծական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 հիմքերից։ Տվյալ դեպքում հայտի ապահովումը փաստացի ներկայացվել է, բանկային երաշխիքը նույնականացված է ՀՀՔԿ-ԲՄԱՇՁԲ-26/7 ծածկագրով ընթացակարգի և նույն ծածկագրով հրավերով սահմանված պարտավորությունների հետ, տարբերությունը կազմում է ընդամենը 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1.5 ՀՀ դրամ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, երաշխիքի սկզբնական գումարը էականորեն գերազանցում է մասնակցի գնային առաջարկի 5 տոկոսը, իսկ մերժման դեպքում պետական միջոցների հնարավոր լրացուցիչ ծախսը կարող է կազմել առնվազն շուրջ </w:t>
      </w: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38,888,000 ՀՀ դրամ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>։</w:t>
      </w:r>
    </w:p>
    <w:p w14:paraId="0A085DA8" w14:textId="4AFB4A4B" w:rsidR="00CB3FE1" w:rsidRPr="00CB3FE1" w:rsidRDefault="00CB3FE1" w:rsidP="00CB3FE1">
      <w:pPr>
        <w:spacing w:after="0" w:line="276" w:lineRule="auto"/>
        <w:ind w:firstLine="450"/>
        <w:jc w:val="both"/>
        <w:outlineLvl w:val="1"/>
        <w:rPr>
          <w:rFonts w:ascii="GHEA Grapalat" w:eastAsia="Times New Roman" w:hAnsi="GHEA Grapalat" w:cs="Times New Roman"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Այդուհանդերձ, նշված հանգամանքները գործող իրավակարգավորումների պայմաններում չեն ձևավորում </w:t>
      </w:r>
      <w:r w:rsidR="00CF2B72">
        <w:rPr>
          <w:rFonts w:ascii="GHEA Grapalat" w:eastAsia="Times New Roman" w:hAnsi="GHEA Grapalat" w:cs="Times New Roman"/>
          <w:kern w:val="0"/>
          <w:lang w:val="hy-AM"/>
          <w14:ligatures w14:val="none"/>
        </w:rPr>
        <w:t>միանշանակ իրավաչափ</w:t>
      </w:r>
      <w:r w:rsidRPr="00CB3FE1">
        <w:rPr>
          <w:rFonts w:ascii="GHEA Grapalat" w:eastAsia="Times New Roman" w:hAnsi="GHEA Grapalat" w:cs="Times New Roman"/>
          <w:kern w:val="0"/>
          <w14:ligatures w14:val="none"/>
        </w:rPr>
        <w:t xml:space="preserve"> հիմք՝ հայտի ապահովումը անվերապահորեն բավարար գնահատելու համար, եթե հարցը գնահատվում է հրավերի 7.1 և 7.6 կետերի, ինչպես նաև Կարգի 40-րդ կետի 4-րդ ենթակետի բառացի կիրառմամբ։</w:t>
      </w:r>
    </w:p>
    <w:p w14:paraId="7DFD9C51" w14:textId="4C4FD202" w:rsidR="00CB3FE1" w:rsidRPr="00CB3FE1" w:rsidRDefault="00CB3FE1" w:rsidP="00CB3FE1">
      <w:pPr>
        <w:spacing w:after="0" w:line="276" w:lineRule="auto"/>
        <w:ind w:firstLine="450"/>
        <w:jc w:val="both"/>
        <w:outlineLvl w:val="1"/>
        <w:rPr>
          <w:rFonts w:ascii="GHEA Grapalat" w:eastAsia="Times New Roman" w:hAnsi="GHEA Grapalat" w:cs="Times New Roman"/>
          <w:kern w:val="0"/>
          <w14:ligatures w14:val="none"/>
        </w:rPr>
      </w:pPr>
    </w:p>
    <w:p w14:paraId="02B70F43" w14:textId="77777777" w:rsidR="00CB3FE1" w:rsidRPr="00CB3FE1" w:rsidRDefault="00CB3FE1" w:rsidP="00CB3FE1">
      <w:pPr>
        <w:spacing w:after="0" w:line="276" w:lineRule="auto"/>
        <w:ind w:firstLine="450"/>
        <w:jc w:val="both"/>
        <w:outlineLvl w:val="1"/>
        <w:rPr>
          <w:rFonts w:ascii="GHEA Grapalat" w:eastAsia="Times New Roman" w:hAnsi="GHEA Grapalat" w:cs="Times New Roman"/>
          <w:b/>
          <w:bCs/>
          <w:kern w:val="0"/>
          <w14:ligatures w14:val="none"/>
        </w:rPr>
      </w:pPr>
      <w:r w:rsidRPr="00CB3FE1">
        <w:rPr>
          <w:rFonts w:ascii="GHEA Grapalat" w:eastAsia="Times New Roman" w:hAnsi="GHEA Grapalat" w:cs="Times New Roman"/>
          <w:b/>
          <w:bCs/>
          <w:kern w:val="0"/>
          <w14:ligatures w14:val="none"/>
        </w:rPr>
        <w:t>7. Առաջարկություն</w:t>
      </w:r>
    </w:p>
    <w:p w14:paraId="0005F017" w14:textId="77777777" w:rsidR="0014694E" w:rsidRPr="0014694E" w:rsidRDefault="0014694E" w:rsidP="0014694E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14694E">
        <w:rPr>
          <w:rFonts w:ascii="GHEA Grapalat" w:eastAsia="Times New Roman" w:hAnsi="GHEA Grapalat" w:cs="Times New Roman"/>
          <w:kern w:val="0"/>
          <w14:ligatures w14:val="none"/>
        </w:rPr>
        <w:t>Հիմք ընդունելով սույն եզրակացությամբ կատարված իրավական գնահատումը և ՀՀ կառավարության 04.05.2017թ. N 526-Ն որոշմամբ հաստատված Կարգի 27-րդ կետի կարգավորումները՝ առաջարկվում է.</w:t>
      </w:r>
    </w:p>
    <w:p w14:paraId="7ED864AA" w14:textId="19843920" w:rsidR="0014694E" w:rsidRPr="0014694E" w:rsidRDefault="0014694E" w:rsidP="0014694E">
      <w:pPr>
        <w:numPr>
          <w:ilvl w:val="0"/>
          <w:numId w:val="2"/>
        </w:numPr>
        <w:spacing w:after="0" w:line="276" w:lineRule="auto"/>
        <w:ind w:left="0"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14694E">
        <w:rPr>
          <w:rFonts w:ascii="GHEA Grapalat" w:eastAsia="Times New Roman" w:hAnsi="GHEA Grapalat" w:cs="Times New Roman"/>
          <w:kern w:val="0"/>
          <w14:ligatures w14:val="none"/>
        </w:rPr>
        <w:t xml:space="preserve">Գնումների համակարգողի զեկուցագիրը համարել </w:t>
      </w:r>
      <w:r w:rsidRPr="0014694E">
        <w:rPr>
          <w:rFonts w:ascii="GHEA Grapalat" w:eastAsia="Times New Roman" w:hAnsi="GHEA Grapalat" w:cs="Times New Roman"/>
          <w:b/>
          <w:bCs/>
          <w:kern w:val="0"/>
          <w14:ligatures w14:val="none"/>
        </w:rPr>
        <w:t>հիմնավոր</w:t>
      </w:r>
      <w:r w:rsidRPr="0014694E">
        <w:rPr>
          <w:rFonts w:ascii="GHEA Grapalat" w:eastAsia="Times New Roman" w:hAnsi="GHEA Grapalat" w:cs="Times New Roman"/>
          <w:kern w:val="0"/>
          <w14:ligatures w14:val="none"/>
        </w:rPr>
        <w:t xml:space="preserve"> այն մասով, որ</w:t>
      </w:r>
      <w:r w:rsidR="00033561">
        <w:rPr>
          <w:rFonts w:ascii="GHEA Grapalat" w:eastAsia="Times New Roman" w:hAnsi="GHEA Grapalat" w:cs="Times New Roman"/>
          <w:kern w:val="0"/>
          <w:lang w:val="hy-AM"/>
          <w14:ligatures w14:val="none"/>
        </w:rPr>
        <w:t>ով</w:t>
      </w:r>
      <w:r w:rsidRPr="0014694E">
        <w:rPr>
          <w:rFonts w:ascii="GHEA Grapalat" w:eastAsia="Times New Roman" w:hAnsi="GHEA Grapalat" w:cs="Times New Roman"/>
          <w:kern w:val="0"/>
          <w14:ligatures w14:val="none"/>
        </w:rPr>
        <w:t xml:space="preserve"> ՀՀՔԿ-ԲՄԱՇՁԲ-26/7 ծածկագրով բաց մրցույթի առաջին տեղ զբաղեցրած մասնակցի կողմից ներկայացված հայտի ապահովման բանկային երաշխիքի գումարը հրավերի 7.1 կետի բառացի հաշվարկով </w:t>
      </w:r>
      <w:r w:rsidRPr="0014694E">
        <w:rPr>
          <w:rFonts w:ascii="GHEA Grapalat" w:eastAsia="Times New Roman" w:hAnsi="GHEA Grapalat" w:cs="Times New Roman"/>
          <w:b/>
          <w:bCs/>
          <w:kern w:val="0"/>
          <w14:ligatures w14:val="none"/>
        </w:rPr>
        <w:t>1.5 ՀՀ դրամով պակաս է</w:t>
      </w:r>
      <w:r w:rsidRPr="0014694E">
        <w:rPr>
          <w:rFonts w:ascii="GHEA Grapalat" w:eastAsia="Times New Roman" w:hAnsi="GHEA Grapalat" w:cs="Times New Roman"/>
          <w:kern w:val="0"/>
          <w14:ligatures w14:val="none"/>
        </w:rPr>
        <w:t xml:space="preserve"> հրավերով հաշվարկվող հայտի ապահովման չափից, իսկ գնահատող հանձնաժողովը նշված հանգամանքի առկայության պայմաններում չի մերժել մասնակցի հայտը։ </w:t>
      </w:r>
    </w:p>
    <w:p w14:paraId="4E9AC472" w14:textId="4B37A281" w:rsidR="0014694E" w:rsidRPr="0014694E" w:rsidRDefault="0014694E" w:rsidP="0014694E">
      <w:pPr>
        <w:numPr>
          <w:ilvl w:val="0"/>
          <w:numId w:val="2"/>
        </w:numPr>
        <w:spacing w:after="0" w:line="276" w:lineRule="auto"/>
        <w:ind w:left="0"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14694E">
        <w:rPr>
          <w:rFonts w:ascii="GHEA Grapalat" w:eastAsia="Times New Roman" w:hAnsi="GHEA Grapalat" w:cs="Times New Roman"/>
          <w:kern w:val="0"/>
          <w14:ligatures w14:val="none"/>
        </w:rPr>
        <w:t xml:space="preserve">Արձանագրել, որ զեկուցագրում բարձրացված հարցը ենթակա է գնահատման Կարգի 40-րդ կետի 4-րդ ենթակետի, ինչպես նաև հրավերի 7.1, 7.6 և 8.2 կետերի համադրված կիրառմամբ։ </w:t>
      </w:r>
    </w:p>
    <w:p w14:paraId="226F2641" w14:textId="3B9F2260" w:rsidR="0014694E" w:rsidRPr="0014694E" w:rsidRDefault="0014694E" w:rsidP="0014694E">
      <w:pPr>
        <w:numPr>
          <w:ilvl w:val="0"/>
          <w:numId w:val="2"/>
        </w:numPr>
        <w:spacing w:after="0" w:line="276" w:lineRule="auto"/>
        <w:ind w:left="0"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14694E">
        <w:rPr>
          <w:rFonts w:ascii="GHEA Grapalat" w:eastAsia="Times New Roman" w:hAnsi="GHEA Grapalat" w:cs="Times New Roman"/>
          <w:kern w:val="0"/>
          <w14:ligatures w14:val="none"/>
        </w:rPr>
        <w:t>Միաժամանակ արձանագրել, որ հանձնաժողովի արձանագրու</w:t>
      </w:r>
      <w:r w:rsidR="00033561">
        <w:rPr>
          <w:rFonts w:ascii="GHEA Grapalat" w:eastAsia="Times New Roman" w:hAnsi="GHEA Grapalat" w:cs="Times New Roman"/>
          <w:kern w:val="0"/>
          <w14:ligatures w14:val="none"/>
        </w:rPr>
        <w:t>թյամբ վկայակոչված հանգամանքները, ի թիվս այլի՝</w:t>
      </w:r>
      <w:r w:rsidRPr="0014694E">
        <w:rPr>
          <w:rFonts w:ascii="GHEA Grapalat" w:eastAsia="Times New Roman" w:hAnsi="GHEA Grapalat" w:cs="Times New Roman"/>
          <w:kern w:val="0"/>
          <w14:ligatures w14:val="none"/>
        </w:rPr>
        <w:t xml:space="preserve"> տարբերության չնչին չափը, պետության շահի պաշտպանության անհրաժեշտությունը և հաջորդ գնային առաջարկի առավել բարձր լինելը, կարող են դիտարկվել որպես օժանդակ փաստարկներ՝ համաչափության, հայտի ապահովման նպատակի և պետական միջոցների արդյունավետ օգտագործման տեսանկյունից։ </w:t>
      </w:r>
    </w:p>
    <w:p w14:paraId="1D1B411D" w14:textId="77777777" w:rsidR="0014694E" w:rsidRPr="0014694E" w:rsidRDefault="0014694E" w:rsidP="0014694E">
      <w:pPr>
        <w:numPr>
          <w:ilvl w:val="0"/>
          <w:numId w:val="2"/>
        </w:numPr>
        <w:spacing w:after="0" w:line="276" w:lineRule="auto"/>
        <w:ind w:left="0"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14694E">
        <w:rPr>
          <w:rFonts w:ascii="GHEA Grapalat" w:eastAsia="Times New Roman" w:hAnsi="GHEA Grapalat" w:cs="Times New Roman"/>
          <w:kern w:val="0"/>
          <w14:ligatures w14:val="none"/>
        </w:rPr>
        <w:t xml:space="preserve">Պատվիրատուի ղեկավարին առաջարկել Կարգի 27-րդ կետի 3-րդ ենթակետի «բ» պարբերության հիման վրա հրամանով հանձնարարել գնահատող հանձնաժողովին սույն իրավական եզրակացության հաշվառմամբ </w:t>
      </w:r>
      <w:r w:rsidRPr="0014694E">
        <w:rPr>
          <w:rFonts w:ascii="GHEA Grapalat" w:eastAsia="Times New Roman" w:hAnsi="GHEA Grapalat" w:cs="Times New Roman"/>
          <w:b/>
          <w:bCs/>
          <w:kern w:val="0"/>
          <w14:ligatures w14:val="none"/>
        </w:rPr>
        <w:t>վերանայել հայտի ապահովման վերաբերյալ իր որոշումը</w:t>
      </w:r>
      <w:r w:rsidRPr="0014694E">
        <w:rPr>
          <w:rFonts w:ascii="GHEA Grapalat" w:eastAsia="Times New Roman" w:hAnsi="GHEA Grapalat" w:cs="Times New Roman"/>
          <w:kern w:val="0"/>
          <w14:ligatures w14:val="none"/>
        </w:rPr>
        <w:t xml:space="preserve">։ </w:t>
      </w:r>
    </w:p>
    <w:p w14:paraId="4E18006B" w14:textId="77777777" w:rsidR="0014694E" w:rsidRPr="0014694E" w:rsidRDefault="0014694E" w:rsidP="0014694E">
      <w:pPr>
        <w:numPr>
          <w:ilvl w:val="0"/>
          <w:numId w:val="2"/>
        </w:numPr>
        <w:spacing w:after="0" w:line="276" w:lineRule="auto"/>
        <w:ind w:left="0"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14694E">
        <w:rPr>
          <w:rFonts w:ascii="GHEA Grapalat" w:eastAsia="Times New Roman" w:hAnsi="GHEA Grapalat" w:cs="Times New Roman"/>
          <w:kern w:val="0"/>
          <w14:ligatures w14:val="none"/>
        </w:rPr>
        <w:t xml:space="preserve">Եթե գնահատող հանձնաժողովը վերանայման արդյունքում հանգի այն եզրակացության, որ հայտի ապահովումը ներկայացվել է հրավերի պահանջներին անհամապատասխան, հանձնաժողովը պետք է առաջնորդվի Կարգի 40-րդ կետի 4-րդ ենթակետով և հրավերի 7.6 ու 8.2 կետերով։ </w:t>
      </w:r>
    </w:p>
    <w:p w14:paraId="48888B7A" w14:textId="77777777" w:rsidR="0014694E" w:rsidRPr="0014694E" w:rsidRDefault="0014694E" w:rsidP="0014694E">
      <w:pPr>
        <w:numPr>
          <w:ilvl w:val="0"/>
          <w:numId w:val="2"/>
        </w:numPr>
        <w:spacing w:after="0" w:line="276" w:lineRule="auto"/>
        <w:ind w:left="0"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14694E">
        <w:rPr>
          <w:rFonts w:ascii="GHEA Grapalat" w:eastAsia="Times New Roman" w:hAnsi="GHEA Grapalat" w:cs="Times New Roman"/>
          <w:kern w:val="0"/>
          <w14:ligatures w14:val="none"/>
        </w:rPr>
        <w:t>Նմանատիպ իրավական անորոշությունները հետագայում բացառելու, ինչպես նաև հայտի ապահովման չափի հաշվարկման, կլորացման և ակնհայտ չնչին հաշվարկային կամ տեխնիկական շեղումների իրավական հետևանքների միասնական և կանխատեսելի կիրառումն ապահովելու նպատակով անհրաժեշտ է քննարկել ՀՀ կառավարության 04.05.2017թ. N 526-Ն որոշմամբ հաստատված Կարգում համապատասխան լրացումներ կատարելու հարցը։</w:t>
      </w:r>
    </w:p>
    <w:p w14:paraId="1DF3D2E0" w14:textId="7C1E44FB" w:rsidR="00CB3FE1" w:rsidRPr="0014694E" w:rsidRDefault="0014694E" w:rsidP="0014694E">
      <w:pPr>
        <w:spacing w:after="0" w:line="276" w:lineRule="auto"/>
        <w:ind w:firstLine="450"/>
        <w:jc w:val="both"/>
        <w:rPr>
          <w:rFonts w:ascii="GHEA Grapalat" w:eastAsia="Times New Roman" w:hAnsi="GHEA Grapalat" w:cs="Times New Roman"/>
          <w:kern w:val="0"/>
          <w14:ligatures w14:val="none"/>
        </w:rPr>
      </w:pPr>
      <w:r w:rsidRPr="0014694E">
        <w:rPr>
          <w:rFonts w:ascii="GHEA Grapalat" w:eastAsia="Times New Roman" w:hAnsi="GHEA Grapalat" w:cs="Times New Roman"/>
          <w:kern w:val="0"/>
          <w14:ligatures w14:val="none"/>
        </w:rPr>
        <w:t>Նշված մոտեցումը կարող է իրականացվել «Գնումների մասին» օրենքի 5-րդ հոդվածի 1-ին մասով ՀՀ կառավարությանը վերապահված լիազորությունների շրջանակում, մասնավորապես՝ գնման ընթացակարգերի կիրարկման կարգը և դրանց առանձնահատկությունները, գնահատող հանձնաժողովի գործունեության կարգը, հրավերի հիմնական պայմանները, ինչպես նաև հայտի ապահովման ձևին և չափին ներկայացվող պահանջները սահմանելու իրավասության հիմքով։ Ըստ այդմ՝ նպատակահարմար է լիազորված մարմնի հետ քննարկել N 526-Ն որոշման մեջ այնպիսի կարգավորման նախատեսման հնարավորությունը, որով կհստակեցվեն հայտի ապահովման գումարի ոչ ամբողջ դրամային հաշվարկի, կլորացման, ինչպես նաև ակնհայտ չնչին տեխնիկական կամ հաշվարկային տարբերությունների գնահատման պայմաններն ու իրավական հետևանքները։</w:t>
      </w:r>
    </w:p>
    <w:p w14:paraId="57D05C3D" w14:textId="388A42D1" w:rsidR="00CB3FE1" w:rsidRDefault="00CB3FE1" w:rsidP="00CB3FE1">
      <w:pPr>
        <w:spacing w:after="0" w:line="276" w:lineRule="auto"/>
        <w:ind w:firstLine="450"/>
        <w:jc w:val="both"/>
        <w:rPr>
          <w:rFonts w:ascii="GHEA Grapalat" w:hAnsi="GHEA Grapalat"/>
        </w:rPr>
      </w:pPr>
    </w:p>
    <w:p w14:paraId="2B321030" w14:textId="729FFFDC" w:rsidR="00033561" w:rsidRDefault="00033561" w:rsidP="00CB3FE1">
      <w:pPr>
        <w:spacing w:after="0" w:line="276" w:lineRule="auto"/>
        <w:ind w:firstLine="45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Հայաստանի Հանրապետության քաղաքաշինության կոմիտե,</w:t>
      </w:r>
    </w:p>
    <w:p w14:paraId="7F279101" w14:textId="21E6539C" w:rsidR="00033561" w:rsidRPr="00033561" w:rsidRDefault="00033561" w:rsidP="00CB3FE1">
      <w:pPr>
        <w:spacing w:after="0" w:line="276" w:lineRule="auto"/>
        <w:ind w:firstLine="45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Իրավաբանական վարչության խորհրդական՝ Նարինե Բաբայան</w:t>
      </w:r>
    </w:p>
    <w:sectPr w:rsidR="00033561" w:rsidRPr="0003356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EE313F" w14:textId="77777777" w:rsidR="002B3844" w:rsidRDefault="002B3844" w:rsidP="00033561">
      <w:pPr>
        <w:spacing w:after="0" w:line="240" w:lineRule="auto"/>
      </w:pPr>
      <w:r>
        <w:separator/>
      </w:r>
    </w:p>
  </w:endnote>
  <w:endnote w:type="continuationSeparator" w:id="0">
    <w:p w14:paraId="1419D52F" w14:textId="77777777" w:rsidR="002B3844" w:rsidRDefault="002B3844" w:rsidP="00033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86B432" w14:textId="77777777" w:rsidR="002B3844" w:rsidRDefault="002B3844" w:rsidP="00033561">
      <w:pPr>
        <w:spacing w:after="0" w:line="240" w:lineRule="auto"/>
      </w:pPr>
      <w:r>
        <w:separator/>
      </w:r>
    </w:p>
  </w:footnote>
  <w:footnote w:type="continuationSeparator" w:id="0">
    <w:p w14:paraId="3B3F4300" w14:textId="77777777" w:rsidR="002B3844" w:rsidRDefault="002B3844" w:rsidP="00033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9520845"/>
      <w:docPartObj>
        <w:docPartGallery w:val="Page Numbers (Top of Page)"/>
        <w:docPartUnique/>
      </w:docPartObj>
    </w:sdtPr>
    <w:sdtEndPr>
      <w:rPr>
        <w:rFonts w:ascii="GHEA Grapalat" w:hAnsi="GHEA Grapalat"/>
        <w:color w:val="7F7F7F" w:themeColor="background1" w:themeShade="7F"/>
        <w:spacing w:val="60"/>
      </w:rPr>
    </w:sdtEndPr>
    <w:sdtContent>
      <w:p w14:paraId="7AE99822" w14:textId="758D6A4A" w:rsidR="00033561" w:rsidRPr="00033561" w:rsidRDefault="00033561">
        <w:pPr>
          <w:pStyle w:val="Header"/>
          <w:pBdr>
            <w:bottom w:val="single" w:sz="4" w:space="1" w:color="D9D9D9" w:themeColor="background1" w:themeShade="D9"/>
          </w:pBdr>
          <w:rPr>
            <w:rFonts w:ascii="GHEA Grapalat" w:hAnsi="GHEA Grapalat"/>
            <w:b/>
            <w:bCs/>
          </w:rPr>
        </w:pPr>
        <w:r w:rsidRPr="00033561">
          <w:rPr>
            <w:rFonts w:ascii="GHEA Grapalat" w:hAnsi="GHEA Grapalat"/>
          </w:rPr>
          <w:fldChar w:fldCharType="begin"/>
        </w:r>
        <w:r w:rsidRPr="00033561">
          <w:rPr>
            <w:rFonts w:ascii="GHEA Grapalat" w:hAnsi="GHEA Grapalat"/>
          </w:rPr>
          <w:instrText xml:space="preserve"> PAGE   \* MERGEFORMAT </w:instrText>
        </w:r>
        <w:r w:rsidRPr="00033561">
          <w:rPr>
            <w:rFonts w:ascii="GHEA Grapalat" w:hAnsi="GHEA Grapalat"/>
          </w:rPr>
          <w:fldChar w:fldCharType="separate"/>
        </w:r>
        <w:r w:rsidR="00EB4AF0" w:rsidRPr="00EB4AF0">
          <w:rPr>
            <w:rFonts w:ascii="GHEA Grapalat" w:hAnsi="GHEA Grapalat"/>
            <w:b/>
            <w:bCs/>
            <w:noProof/>
          </w:rPr>
          <w:t>1</w:t>
        </w:r>
        <w:r w:rsidRPr="00033561">
          <w:rPr>
            <w:rFonts w:ascii="GHEA Grapalat" w:hAnsi="GHEA Grapalat"/>
            <w:b/>
            <w:bCs/>
            <w:noProof/>
          </w:rPr>
          <w:fldChar w:fldCharType="end"/>
        </w:r>
        <w:r w:rsidRPr="00033561">
          <w:rPr>
            <w:rFonts w:ascii="GHEA Grapalat" w:hAnsi="GHEA Grapalat"/>
            <w:b/>
            <w:bCs/>
          </w:rPr>
          <w:t xml:space="preserve"> | </w:t>
        </w:r>
        <w:r w:rsidRPr="00033561">
          <w:rPr>
            <w:rFonts w:ascii="GHEA Grapalat" w:hAnsi="GHEA Grapalat"/>
            <w:color w:val="7F7F7F" w:themeColor="background1" w:themeShade="7F"/>
            <w:spacing w:val="60"/>
            <w:lang w:val="hy-AM"/>
          </w:rPr>
          <w:t>էջ</w:t>
        </w:r>
      </w:p>
    </w:sdtContent>
  </w:sdt>
  <w:p w14:paraId="32F4ECC1" w14:textId="77777777" w:rsidR="00033561" w:rsidRDefault="000335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033DC3"/>
    <w:multiLevelType w:val="multilevel"/>
    <w:tmpl w:val="FE20C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CFC5B64"/>
    <w:multiLevelType w:val="multilevel"/>
    <w:tmpl w:val="FE20C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BB36464"/>
    <w:multiLevelType w:val="multilevel"/>
    <w:tmpl w:val="2C32E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FE1"/>
    <w:rsid w:val="00033561"/>
    <w:rsid w:val="00091AE4"/>
    <w:rsid w:val="0009503A"/>
    <w:rsid w:val="00142A16"/>
    <w:rsid w:val="0014694E"/>
    <w:rsid w:val="002B3844"/>
    <w:rsid w:val="005D3DFD"/>
    <w:rsid w:val="00AF5E4E"/>
    <w:rsid w:val="00CB3FE1"/>
    <w:rsid w:val="00CF2B72"/>
    <w:rsid w:val="00D1776C"/>
    <w:rsid w:val="00EB4AF0"/>
    <w:rsid w:val="00F32814"/>
    <w:rsid w:val="00FD4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54B6D"/>
  <w15:chartTrackingRefBased/>
  <w15:docId w15:val="{84470352-8A6F-7D49-AC8C-763BC1797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3F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3F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3F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3F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3F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3F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3F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3F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3F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3F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B3F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3F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3F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3F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3F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3F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3F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3F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3F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3F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3F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3F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3F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3F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3F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3F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3F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3F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3FE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B3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CB3FE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335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561"/>
  </w:style>
  <w:style w:type="paragraph" w:styleId="Footer">
    <w:name w:val="footer"/>
    <w:basedOn w:val="Normal"/>
    <w:link w:val="FooterChar"/>
    <w:uiPriority w:val="99"/>
    <w:unhideWhenUsed/>
    <w:rsid w:val="000335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561"/>
  </w:style>
  <w:style w:type="paragraph" w:styleId="BalloonText">
    <w:name w:val="Balloon Text"/>
    <w:basedOn w:val="Normal"/>
    <w:link w:val="BalloonTextChar"/>
    <w:uiPriority w:val="99"/>
    <w:semiHidden/>
    <w:unhideWhenUsed/>
    <w:rsid w:val="005D3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D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1670</Words>
  <Characters>11962</Characters>
  <Application>Microsoft Office Word</Application>
  <DocSecurity>0</DocSecurity>
  <Lines>232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Babayan</dc:creator>
  <cp:keywords>https://mul2-mud.gov.am/tasks/885428/oneclick?token=497956eb6a88ca49287fd6b4b34a8d64</cp:keywords>
  <dc:description/>
  <cp:lastModifiedBy>Narine Babayan</cp:lastModifiedBy>
  <cp:revision>6</cp:revision>
  <cp:lastPrinted>2026-05-18T12:38:00Z</cp:lastPrinted>
  <dcterms:created xsi:type="dcterms:W3CDTF">2026-05-15T11:39:00Z</dcterms:created>
  <dcterms:modified xsi:type="dcterms:W3CDTF">2026-05-18T12:55:00Z</dcterms:modified>
</cp:coreProperties>
</file>